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BD31A">
      <w:pPr>
        <w:spacing w:afterLines="0" w:line="560" w:lineRule="exact"/>
        <w:jc w:val="center"/>
        <w:rPr>
          <w:rFonts w:hint="default" w:ascii="方正公文小标宋" w:hAnsi="方正公文小标宋" w:eastAsia="方正公文小标宋" w:cs="方正公文小标宋"/>
          <w:b w:val="0"/>
          <w:bCs/>
          <w:color w:val="auto"/>
          <w:sz w:val="32"/>
          <w:szCs w:val="32"/>
          <w:highlight w:val="none"/>
          <w:lang w:val="en-US" w:eastAsia="zh-CN"/>
        </w:rPr>
      </w:pPr>
      <w:r>
        <w:rPr>
          <w:rFonts w:hint="eastAsia" w:ascii="方正公文小标宋" w:hAnsi="方正公文小标宋" w:eastAsia="方正公文小标宋" w:cs="方正公文小标宋"/>
          <w:b w:val="0"/>
          <w:bCs/>
          <w:color w:val="auto"/>
          <w:sz w:val="32"/>
          <w:szCs w:val="32"/>
          <w:highlight w:val="none"/>
          <w:lang w:val="en-US" w:eastAsia="zh-CN"/>
        </w:rPr>
        <w:t>中山一院广西医院一期项目病案信息科和大后勤部门业务用房改造采购需求</w:t>
      </w:r>
    </w:p>
    <w:p w14:paraId="4F6D72A6">
      <w:pPr>
        <w:spacing w:afterLines="0" w:line="560" w:lineRule="exact"/>
        <w:jc w:val="center"/>
        <w:rPr>
          <w:rFonts w:hint="eastAsia" w:ascii="方正公文小标宋" w:hAnsi="方正公文小标宋" w:eastAsia="方正公文小标宋" w:cs="方正公文小标宋"/>
          <w:b w:val="0"/>
          <w:bCs/>
          <w:color w:val="auto"/>
          <w:sz w:val="32"/>
          <w:szCs w:val="32"/>
          <w:highlight w:val="none"/>
          <w:lang w:val="en-US" w:eastAsia="zh-CN"/>
        </w:rPr>
      </w:pPr>
    </w:p>
    <w:tbl>
      <w:tblPr>
        <w:tblStyle w:val="5"/>
        <w:tblW w:w="9081" w:type="dxa"/>
        <w:tblInd w:w="-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3"/>
        <w:gridCol w:w="7658"/>
      </w:tblGrid>
      <w:tr w14:paraId="7A29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3" w:type="dxa"/>
            <w:vAlign w:val="center"/>
          </w:tcPr>
          <w:p w14:paraId="651663E4">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方正公文小标宋" w:hAnsi="方正公文小标宋" w:eastAsia="方正公文小标宋" w:cs="方正公文小标宋"/>
                <w:b w:val="0"/>
                <w:bCs/>
                <w:color w:val="auto"/>
                <w:sz w:val="32"/>
                <w:szCs w:val="32"/>
                <w:highlight w:val="none"/>
                <w:vertAlign w:val="baseline"/>
                <w:lang w:val="en-US" w:eastAsia="zh-CN"/>
              </w:rPr>
            </w:pPr>
            <w:r>
              <w:rPr>
                <w:rFonts w:hint="eastAsia" w:ascii="方正仿宋_GB2312" w:hAnsi="方正仿宋_GB2312" w:eastAsia="方正仿宋_GB2312" w:cs="方正仿宋_GB2312"/>
                <w:b/>
                <w:bCs w:val="0"/>
                <w:color w:val="auto"/>
                <w:sz w:val="24"/>
                <w:szCs w:val="24"/>
                <w:highlight w:val="none"/>
                <w:lang w:val="en-US" w:eastAsia="zh-CN"/>
              </w:rPr>
              <w:t>项目名称</w:t>
            </w:r>
          </w:p>
        </w:tc>
        <w:tc>
          <w:tcPr>
            <w:tcW w:w="7658" w:type="dxa"/>
            <w:vAlign w:val="center"/>
          </w:tcPr>
          <w:p w14:paraId="7422865B">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方正公文小标宋" w:hAnsi="方正公文小标宋" w:eastAsia="方正公文小标宋" w:cs="方正公文小标宋"/>
                <w:b w:val="0"/>
                <w:bCs/>
                <w:color w:val="auto"/>
                <w:sz w:val="32"/>
                <w:szCs w:val="32"/>
                <w:highlight w:val="none"/>
                <w:vertAlign w:val="baseline"/>
                <w:lang w:val="en-US" w:eastAsia="zh-CN"/>
              </w:rPr>
            </w:pPr>
            <w:r>
              <w:rPr>
                <w:rFonts w:hint="eastAsia" w:ascii="方正仿宋_GB2312" w:hAnsi="方正仿宋_GB2312" w:eastAsia="方正仿宋_GB2312" w:cs="方正仿宋_GB2312"/>
                <w:b w:val="0"/>
                <w:bCs/>
                <w:color w:val="auto"/>
                <w:sz w:val="24"/>
                <w:szCs w:val="24"/>
                <w:highlight w:val="none"/>
                <w:lang w:val="en-US" w:eastAsia="zh-CN"/>
              </w:rPr>
              <w:t>中山一院广西医院一期项目病案信息科和大后勤部门业务用房改造</w:t>
            </w:r>
          </w:p>
        </w:tc>
      </w:tr>
      <w:tr w14:paraId="768E3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3" w:type="dxa"/>
            <w:vAlign w:val="center"/>
          </w:tcPr>
          <w:p w14:paraId="150188F2">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方正仿宋_GB2312" w:hAnsi="方正仿宋_GB2312" w:eastAsia="方正仿宋_GB2312" w:cs="方正仿宋_GB2312"/>
                <w:b/>
                <w:bCs w:val="0"/>
                <w:color w:val="auto"/>
                <w:sz w:val="24"/>
                <w:szCs w:val="24"/>
                <w:highlight w:val="none"/>
                <w:lang w:val="en-US" w:eastAsia="zh-CN"/>
              </w:rPr>
            </w:pPr>
            <w:r>
              <w:rPr>
                <w:rFonts w:hint="eastAsia" w:ascii="方正仿宋_GB2312" w:hAnsi="方正仿宋_GB2312" w:eastAsia="方正仿宋_GB2312" w:cs="方正仿宋_GB2312"/>
                <w:b/>
                <w:bCs w:val="0"/>
                <w:color w:val="auto"/>
                <w:sz w:val="24"/>
                <w:szCs w:val="24"/>
                <w:highlight w:val="none"/>
                <w:lang w:val="en-US" w:eastAsia="zh-CN"/>
              </w:rPr>
              <w:t>采购方式</w:t>
            </w:r>
          </w:p>
        </w:tc>
        <w:tc>
          <w:tcPr>
            <w:tcW w:w="7658" w:type="dxa"/>
            <w:vAlign w:val="center"/>
          </w:tcPr>
          <w:p w14:paraId="730F1BE3">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default" w:ascii="方正仿宋_GB2312" w:hAnsi="方正仿宋_GB2312" w:eastAsia="方正仿宋_GB2312" w:cs="方正仿宋_GB2312"/>
                <w:b w:val="0"/>
                <w:bCs/>
                <w:color w:val="auto"/>
                <w:sz w:val="24"/>
                <w:szCs w:val="24"/>
                <w:highlight w:val="none"/>
                <w:lang w:val="en-US" w:eastAsia="zh-CN"/>
              </w:rPr>
            </w:pPr>
            <w:r>
              <w:rPr>
                <w:rFonts w:hint="eastAsia" w:ascii="方正仿宋_GB2312" w:hAnsi="方正仿宋_GB2312" w:eastAsia="方正仿宋_GB2312" w:cs="方正仿宋_GB2312"/>
                <w:bCs/>
                <w:color w:val="auto"/>
                <w:sz w:val="24"/>
                <w:highlight w:val="none"/>
                <w:lang w:val="en-US" w:eastAsia="zh-CN"/>
              </w:rPr>
              <w:t>院内磋商 综合评分</w:t>
            </w:r>
          </w:p>
        </w:tc>
      </w:tr>
      <w:tr w14:paraId="004A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3" w:type="dxa"/>
            <w:vAlign w:val="center"/>
          </w:tcPr>
          <w:p w14:paraId="7941C24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方正仿宋_GB2312" w:hAnsi="方正仿宋_GB2312" w:eastAsia="方正仿宋_GB2312" w:cs="方正仿宋_GB2312"/>
                <w:b/>
                <w:bCs w:val="0"/>
                <w:color w:val="auto"/>
                <w:sz w:val="24"/>
                <w:szCs w:val="24"/>
                <w:highlight w:val="none"/>
                <w:lang w:val="en-US" w:eastAsia="zh-CN"/>
              </w:rPr>
            </w:pPr>
            <w:r>
              <w:rPr>
                <w:rFonts w:hint="eastAsia" w:ascii="方正仿宋_GB2312" w:hAnsi="方正仿宋_GB2312" w:eastAsia="方正仿宋_GB2312" w:cs="方正仿宋_GB2312"/>
                <w:b/>
                <w:bCs w:val="0"/>
                <w:color w:val="auto"/>
                <w:sz w:val="24"/>
                <w:szCs w:val="24"/>
                <w:highlight w:val="none"/>
                <w:lang w:val="en-US" w:eastAsia="zh-CN"/>
              </w:rPr>
              <w:t>采购上控价</w:t>
            </w:r>
          </w:p>
        </w:tc>
        <w:tc>
          <w:tcPr>
            <w:tcW w:w="7658" w:type="dxa"/>
            <w:vAlign w:val="center"/>
          </w:tcPr>
          <w:p w14:paraId="4720651E">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default" w:ascii="方正仿宋_GB2312" w:hAnsi="方正仿宋_GB2312" w:eastAsia="方正仿宋_GB2312" w:cs="方正仿宋_GB2312"/>
                <w:b w:val="0"/>
                <w:bCs/>
                <w:color w:val="auto"/>
                <w:sz w:val="24"/>
                <w:szCs w:val="24"/>
                <w:highlight w:val="none"/>
                <w:lang w:val="en-US" w:eastAsia="zh-CN"/>
              </w:rPr>
            </w:pPr>
            <w:r>
              <w:rPr>
                <w:rFonts w:hint="eastAsia" w:ascii="方正仿宋_GB2312" w:hAnsi="方正仿宋_GB2312" w:eastAsia="方正仿宋_GB2312" w:cs="方正仿宋_GB2312"/>
                <w:b w:val="0"/>
                <w:bCs/>
                <w:color w:val="auto"/>
                <w:sz w:val="24"/>
                <w:szCs w:val="24"/>
                <w:highlight w:val="none"/>
                <w:lang w:val="en-US" w:eastAsia="zh-CN"/>
              </w:rPr>
              <w:t>784779.97元</w:t>
            </w:r>
          </w:p>
        </w:tc>
      </w:tr>
      <w:tr w14:paraId="1E8F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Align w:val="center"/>
          </w:tcPr>
          <w:p w14:paraId="3ACAE0A2">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jc w:val="center"/>
              <w:textAlignment w:val="auto"/>
              <w:rPr>
                <w:rFonts w:hint="eastAsia" w:ascii="方正仿宋_GB2312" w:hAnsi="方正仿宋_GB2312" w:eastAsia="方正仿宋_GB2312" w:cs="方正仿宋_GB2312"/>
                <w:b/>
                <w:color w:val="auto"/>
                <w:sz w:val="24"/>
                <w:szCs w:val="24"/>
                <w:highlight w:val="none"/>
                <w:lang w:val="en-US" w:eastAsia="zh-CN"/>
              </w:rPr>
            </w:pPr>
            <w:r>
              <w:rPr>
                <w:rFonts w:hint="eastAsia" w:ascii="方正仿宋_GB2312" w:hAnsi="方正仿宋_GB2312" w:eastAsia="方正仿宋_GB2312" w:cs="方正仿宋_GB2312"/>
                <w:b/>
                <w:color w:val="auto"/>
                <w:sz w:val="24"/>
                <w:szCs w:val="24"/>
                <w:highlight w:val="none"/>
              </w:rPr>
              <w:t>采购</w:t>
            </w:r>
            <w:r>
              <w:rPr>
                <w:rFonts w:hint="eastAsia" w:ascii="方正仿宋_GB2312" w:hAnsi="方正仿宋_GB2312" w:eastAsia="方正仿宋_GB2312" w:cs="方正仿宋_GB2312"/>
                <w:b/>
                <w:color w:val="auto"/>
                <w:sz w:val="24"/>
                <w:szCs w:val="24"/>
                <w:highlight w:val="none"/>
                <w:lang w:val="en-US" w:eastAsia="zh-CN"/>
              </w:rPr>
              <w:t>需求</w:t>
            </w:r>
          </w:p>
          <w:p w14:paraId="616F1CAB">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方正公文小标宋" w:hAnsi="方正公文小标宋" w:eastAsia="方正公文小标宋" w:cs="方正公文小标宋"/>
                <w:b w:val="0"/>
                <w:bCs/>
                <w:color w:val="auto"/>
                <w:sz w:val="32"/>
                <w:szCs w:val="32"/>
                <w:highlight w:val="none"/>
                <w:vertAlign w:val="baseline"/>
                <w:lang w:val="en-US" w:eastAsia="zh-CN"/>
              </w:rPr>
            </w:pPr>
          </w:p>
        </w:tc>
        <w:tc>
          <w:tcPr>
            <w:tcW w:w="7658" w:type="dxa"/>
          </w:tcPr>
          <w:p w14:paraId="74E9DCDF">
            <w:pPr>
              <w:keepNext w:val="0"/>
              <w:keepLines w:val="0"/>
              <w:pageBreakBefore w:val="0"/>
              <w:kinsoku/>
              <w:wordWrap/>
              <w:overflowPunct/>
              <w:topLinePunct w:val="0"/>
              <w:autoSpaceDE/>
              <w:autoSpaceDN/>
              <w:bidi w:val="0"/>
              <w:adjustRightInd/>
              <w:snapToGrid/>
              <w:spacing w:line="440" w:lineRule="exact"/>
              <w:textAlignment w:val="auto"/>
              <w:rPr>
                <w:rFonts w:hint="eastAsia" w:ascii="方正仿宋_GB2312" w:hAnsi="方正仿宋_GB2312" w:eastAsia="方正仿宋_GB2312" w:cs="方正仿宋_GB2312"/>
                <w:color w:val="auto"/>
                <w:sz w:val="24"/>
                <w:szCs w:val="24"/>
                <w:highlight w:val="none"/>
                <w:lang w:val="en-US" w:eastAsia="zh-CN"/>
              </w:rPr>
            </w:pPr>
            <w:r>
              <w:rPr>
                <w:rFonts w:hint="default" w:ascii="方正仿宋_GB2312" w:hAnsi="方正仿宋_GB2312" w:eastAsia="方正仿宋_GB2312" w:cs="方正仿宋_GB2312"/>
                <w:color w:val="auto"/>
                <w:sz w:val="24"/>
                <w:szCs w:val="24"/>
                <w:highlight w:val="none"/>
                <w:lang w:val="en-US" w:eastAsia="zh-CN"/>
              </w:rPr>
              <w:t>1.建设规模：改造面积约</w:t>
            </w:r>
            <w:r>
              <w:rPr>
                <w:rFonts w:hint="eastAsia" w:ascii="方正仿宋_GB2312" w:hAnsi="方正仿宋_GB2312" w:eastAsia="方正仿宋_GB2312" w:cs="方正仿宋_GB2312"/>
                <w:color w:val="auto"/>
                <w:sz w:val="24"/>
                <w:szCs w:val="24"/>
                <w:highlight w:val="none"/>
                <w:lang w:val="en-US" w:eastAsia="zh-CN"/>
              </w:rPr>
              <w:t>520</w:t>
            </w:r>
            <w:r>
              <w:rPr>
                <w:rFonts w:hint="default" w:ascii="方正仿宋_GB2312" w:hAnsi="方正仿宋_GB2312" w:eastAsia="方正仿宋_GB2312" w:cs="方正仿宋_GB2312"/>
                <w:color w:val="auto"/>
                <w:sz w:val="24"/>
                <w:szCs w:val="24"/>
                <w:highlight w:val="none"/>
                <w:lang w:val="en-US" w:eastAsia="zh-CN"/>
              </w:rPr>
              <w:t>㎡，高度4.5m。</w:t>
            </w:r>
          </w:p>
          <w:p w14:paraId="426B4723">
            <w:pPr>
              <w:keepNext w:val="0"/>
              <w:keepLines w:val="0"/>
              <w:pageBreakBefore w:val="0"/>
              <w:kinsoku/>
              <w:wordWrap/>
              <w:overflowPunct/>
              <w:topLinePunct w:val="0"/>
              <w:autoSpaceDE/>
              <w:autoSpaceDN/>
              <w:bidi w:val="0"/>
              <w:adjustRightInd/>
              <w:snapToGrid/>
              <w:spacing w:line="440" w:lineRule="exact"/>
              <w:textAlignment w:val="auto"/>
              <w:rPr>
                <w:rFonts w:hint="eastAsia" w:ascii="方正仿宋_GB2312" w:hAnsi="方正仿宋_GB2312" w:eastAsia="方正仿宋_GB2312" w:cs="方正仿宋_GB2312"/>
                <w:color w:val="auto"/>
                <w:sz w:val="24"/>
                <w:szCs w:val="24"/>
                <w:highlight w:val="none"/>
                <w:lang w:val="en-US" w:eastAsia="zh-CN"/>
              </w:rPr>
            </w:pPr>
            <w:r>
              <w:rPr>
                <w:rFonts w:hint="default" w:ascii="方正仿宋_GB2312" w:hAnsi="方正仿宋_GB2312" w:eastAsia="方正仿宋_GB2312" w:cs="方正仿宋_GB2312"/>
                <w:color w:val="auto"/>
                <w:sz w:val="24"/>
                <w:szCs w:val="24"/>
                <w:highlight w:val="none"/>
                <w:lang w:val="en-US" w:eastAsia="zh-CN"/>
              </w:rPr>
              <w:t>2.建筑结构形式：钢筋混凝土结构</w:t>
            </w:r>
          </w:p>
          <w:p w14:paraId="6DA855FF">
            <w:pPr>
              <w:keepNext w:val="0"/>
              <w:keepLines w:val="0"/>
              <w:pageBreakBefore w:val="0"/>
              <w:kinsoku/>
              <w:wordWrap/>
              <w:overflowPunct/>
              <w:topLinePunct w:val="0"/>
              <w:autoSpaceDE/>
              <w:autoSpaceDN/>
              <w:bidi w:val="0"/>
              <w:adjustRightInd/>
              <w:snapToGrid/>
              <w:spacing w:line="440" w:lineRule="exact"/>
              <w:textAlignment w:val="auto"/>
              <w:rPr>
                <w:rFonts w:hint="default" w:ascii="方正仿宋_GB2312" w:hAnsi="方正仿宋_GB2312" w:eastAsia="方正仿宋_GB2312" w:cs="方正仿宋_GB2312"/>
                <w:color w:val="auto"/>
                <w:sz w:val="24"/>
                <w:szCs w:val="24"/>
                <w:highlight w:val="none"/>
                <w:lang w:val="en-US" w:eastAsia="zh-CN"/>
              </w:rPr>
            </w:pPr>
            <w:r>
              <w:rPr>
                <w:rFonts w:hint="default"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val="en-US" w:eastAsia="zh-CN"/>
              </w:rPr>
              <w:t>施工</w:t>
            </w:r>
            <w:r>
              <w:rPr>
                <w:rFonts w:hint="default" w:ascii="方正仿宋_GB2312" w:hAnsi="方正仿宋_GB2312" w:eastAsia="方正仿宋_GB2312" w:cs="方正仿宋_GB2312"/>
                <w:color w:val="auto"/>
                <w:sz w:val="24"/>
                <w:szCs w:val="24"/>
                <w:highlight w:val="none"/>
                <w:lang w:val="en-US" w:eastAsia="zh-CN"/>
              </w:rPr>
              <w:t>范围：</w:t>
            </w:r>
            <w:r>
              <w:rPr>
                <w:rFonts w:hint="eastAsia" w:ascii="方正仿宋_GB2312" w:hAnsi="方正仿宋_GB2312" w:eastAsia="方正仿宋_GB2312" w:cs="方正仿宋_GB2312"/>
                <w:b w:val="0"/>
                <w:bCs/>
                <w:color w:val="auto"/>
                <w:sz w:val="24"/>
                <w:szCs w:val="24"/>
                <w:highlight w:val="none"/>
                <w:lang w:val="en-US" w:eastAsia="zh-CN"/>
              </w:rPr>
              <w:t>病案信息科和大后勤部门业务用房的</w:t>
            </w:r>
            <w:r>
              <w:rPr>
                <w:rFonts w:hint="default" w:ascii="方正仿宋_GB2312" w:hAnsi="方正仿宋_GB2312" w:eastAsia="方正仿宋_GB2312" w:cs="方正仿宋_GB2312"/>
                <w:color w:val="auto"/>
                <w:sz w:val="24"/>
                <w:szCs w:val="24"/>
                <w:highlight w:val="none"/>
                <w:lang w:val="en-US" w:eastAsia="zh-CN"/>
              </w:rPr>
              <w:t>外墙砌筑封窗、地面硬化、门窗更换、新建</w:t>
            </w:r>
            <w:r>
              <w:rPr>
                <w:rFonts w:hint="eastAsia" w:ascii="方正仿宋_GB2312" w:hAnsi="方正仿宋_GB2312" w:eastAsia="方正仿宋_GB2312" w:cs="方正仿宋_GB2312"/>
                <w:color w:val="auto"/>
                <w:sz w:val="24"/>
                <w:szCs w:val="24"/>
                <w:highlight w:val="none"/>
                <w:lang w:val="en-US" w:eastAsia="zh-CN"/>
              </w:rPr>
              <w:t>会议室及</w:t>
            </w:r>
            <w:r>
              <w:rPr>
                <w:rFonts w:hint="default" w:ascii="方正仿宋_GB2312" w:hAnsi="方正仿宋_GB2312" w:eastAsia="方正仿宋_GB2312" w:cs="方正仿宋_GB2312"/>
                <w:color w:val="auto"/>
                <w:sz w:val="24"/>
                <w:szCs w:val="24"/>
                <w:highlight w:val="none"/>
                <w:lang w:val="en-US" w:eastAsia="zh-CN"/>
              </w:rPr>
              <w:t>卫生间、室内装修、水电暖通安装等等，具体为施工图纸及工程量清单包含的全部内容。</w:t>
            </w:r>
          </w:p>
          <w:p w14:paraId="312ECEB7">
            <w:pPr>
              <w:keepNext w:val="0"/>
              <w:keepLines w:val="0"/>
              <w:pageBreakBefore w:val="0"/>
              <w:kinsoku/>
              <w:wordWrap/>
              <w:overflowPunct/>
              <w:topLinePunct w:val="0"/>
              <w:autoSpaceDE/>
              <w:autoSpaceDN/>
              <w:bidi w:val="0"/>
              <w:adjustRightInd/>
              <w:snapToGrid/>
              <w:spacing w:line="440" w:lineRule="exact"/>
              <w:textAlignment w:val="auto"/>
              <w:rPr>
                <w:rFonts w:hint="default" w:ascii="方正仿宋_GB2312" w:hAnsi="方正仿宋_GB2312" w:eastAsia="方正仿宋_GB2312" w:cs="方正仿宋_GB2312"/>
                <w:color w:val="auto"/>
                <w:sz w:val="24"/>
                <w:szCs w:val="24"/>
                <w:highlight w:val="none"/>
                <w:lang w:val="en-US" w:eastAsia="zh-CN"/>
              </w:rPr>
            </w:pPr>
            <w:r>
              <w:rPr>
                <w:rFonts w:hint="default" w:ascii="方正仿宋_GB2312" w:hAnsi="方正仿宋_GB2312" w:eastAsia="方正仿宋_GB2312" w:cs="方正仿宋_GB2312"/>
                <w:color w:val="auto"/>
                <w:sz w:val="24"/>
                <w:szCs w:val="24"/>
                <w:highlight w:val="none"/>
                <w:lang w:val="en-US" w:eastAsia="zh-CN"/>
              </w:rPr>
              <w:t>4.建设地点：南宁市佛子岭路3号中山大学附属第一医院广西医院负二楼住院大厅处、五楼机房区。</w:t>
            </w:r>
          </w:p>
          <w:p w14:paraId="63ED15E8">
            <w:pPr>
              <w:keepNext w:val="0"/>
              <w:keepLines w:val="0"/>
              <w:pageBreakBefore w:val="0"/>
              <w:kinsoku/>
              <w:wordWrap/>
              <w:overflowPunct/>
              <w:topLinePunct w:val="0"/>
              <w:autoSpaceDE/>
              <w:autoSpaceDN/>
              <w:bidi w:val="0"/>
              <w:adjustRightInd/>
              <w:snapToGrid/>
              <w:spacing w:line="440" w:lineRule="exact"/>
              <w:textAlignment w:val="auto"/>
              <w:rPr>
                <w:rFonts w:hint="default" w:ascii="方正仿宋_GB2312" w:hAnsi="方正仿宋_GB2312" w:eastAsia="方正仿宋_GB2312" w:cs="方正仿宋_GB2312"/>
                <w:color w:val="auto"/>
                <w:sz w:val="24"/>
                <w:szCs w:val="24"/>
                <w:highlight w:val="none"/>
                <w:lang w:val="en-US" w:eastAsia="zh-CN"/>
              </w:rPr>
            </w:pPr>
            <w:r>
              <w:rPr>
                <w:rFonts w:hint="default" w:ascii="方正仿宋_GB2312" w:hAnsi="方正仿宋_GB2312" w:eastAsia="方正仿宋_GB2312" w:cs="方正仿宋_GB2312"/>
                <w:color w:val="auto"/>
                <w:sz w:val="24"/>
                <w:szCs w:val="24"/>
                <w:highlight w:val="none"/>
                <w:lang w:val="en-US" w:eastAsia="zh-CN"/>
              </w:rPr>
              <w:t xml:space="preserve">5.工期要求： </w:t>
            </w:r>
            <w:r>
              <w:rPr>
                <w:rFonts w:hint="eastAsia" w:ascii="方正仿宋_GB2312" w:hAnsi="方正仿宋_GB2312" w:eastAsia="方正仿宋_GB2312" w:cs="方正仿宋_GB2312"/>
                <w:color w:val="auto"/>
                <w:sz w:val="24"/>
                <w:szCs w:val="24"/>
                <w:highlight w:val="none"/>
                <w:lang w:val="en-US" w:eastAsia="zh-CN"/>
              </w:rPr>
              <w:t>180</w:t>
            </w:r>
            <w:r>
              <w:rPr>
                <w:rFonts w:hint="default" w:ascii="方正仿宋_GB2312" w:hAnsi="方正仿宋_GB2312" w:eastAsia="方正仿宋_GB2312" w:cs="方正仿宋_GB2312"/>
                <w:color w:val="auto"/>
                <w:sz w:val="24"/>
                <w:szCs w:val="24"/>
                <w:highlight w:val="none"/>
                <w:lang w:val="en-US" w:eastAsia="zh-CN"/>
              </w:rPr>
              <w:t xml:space="preserve"> 日历天</w:t>
            </w:r>
          </w:p>
          <w:p w14:paraId="32B8BE7E">
            <w:pPr>
              <w:keepNext w:val="0"/>
              <w:keepLines w:val="0"/>
              <w:pageBreakBefore w:val="0"/>
              <w:kinsoku/>
              <w:wordWrap/>
              <w:overflowPunct/>
              <w:topLinePunct w:val="0"/>
              <w:autoSpaceDE/>
              <w:autoSpaceDN/>
              <w:bidi w:val="0"/>
              <w:adjustRightInd/>
              <w:snapToGrid/>
              <w:spacing w:line="440" w:lineRule="exact"/>
              <w:textAlignment w:val="auto"/>
              <w:rPr>
                <w:rFonts w:hint="default" w:ascii="方正仿宋_GB2312" w:hAnsi="方正仿宋_GB2312" w:eastAsia="方正仿宋_GB2312" w:cs="方正仿宋_GB2312"/>
                <w:color w:val="auto"/>
                <w:sz w:val="24"/>
                <w:szCs w:val="24"/>
                <w:highlight w:val="none"/>
                <w:lang w:val="en-US" w:eastAsia="zh-CN"/>
              </w:rPr>
            </w:pPr>
            <w:r>
              <w:rPr>
                <w:rFonts w:hint="default" w:ascii="方正仿宋_GB2312" w:hAnsi="方正仿宋_GB2312" w:eastAsia="方正仿宋_GB2312" w:cs="方正仿宋_GB2312"/>
                <w:color w:val="auto"/>
                <w:sz w:val="24"/>
                <w:szCs w:val="24"/>
                <w:highlight w:val="none"/>
                <w:lang w:val="en-US" w:eastAsia="zh-CN"/>
              </w:rPr>
              <w:t>6.验收要求：</w:t>
            </w:r>
            <w:r>
              <w:rPr>
                <w:rFonts w:hint="eastAsia" w:ascii="方正仿宋_GB2312" w:hAnsi="方正仿宋_GB2312" w:eastAsia="方正仿宋_GB2312" w:cs="方正仿宋_GB2312"/>
                <w:color w:val="auto"/>
                <w:sz w:val="24"/>
                <w:szCs w:val="24"/>
                <w:highlight w:val="none"/>
                <w:lang w:val="en-US" w:eastAsia="zh-CN"/>
              </w:rPr>
              <w:t>按相关行政主管部门要求的程序组织；必须达到国家、自治区相关的施工验收规范合格标准，并经第三方检测单位检测合格。</w:t>
            </w:r>
          </w:p>
          <w:p w14:paraId="3C3BEBDA">
            <w:pPr>
              <w:keepNext w:val="0"/>
              <w:keepLines w:val="0"/>
              <w:pageBreakBefore w:val="0"/>
              <w:kinsoku/>
              <w:wordWrap/>
              <w:overflowPunct/>
              <w:topLinePunct w:val="0"/>
              <w:autoSpaceDE/>
              <w:autoSpaceDN/>
              <w:bidi w:val="0"/>
              <w:adjustRightInd/>
              <w:snapToGrid/>
              <w:spacing w:line="440" w:lineRule="exact"/>
              <w:textAlignment w:val="auto"/>
              <w:rPr>
                <w:rFonts w:hint="default" w:ascii="方正仿宋_GB2312" w:hAnsi="方正仿宋_GB2312" w:eastAsia="方正仿宋_GB2312" w:cs="方正仿宋_GB2312"/>
                <w:color w:val="auto"/>
                <w:sz w:val="24"/>
                <w:szCs w:val="24"/>
                <w:highlight w:val="none"/>
                <w:lang w:val="en-US" w:eastAsia="zh-CN"/>
              </w:rPr>
            </w:pPr>
            <w:r>
              <w:rPr>
                <w:rFonts w:hint="default" w:ascii="方正仿宋_GB2312" w:hAnsi="方正仿宋_GB2312" w:eastAsia="方正仿宋_GB2312" w:cs="方正仿宋_GB2312"/>
                <w:color w:val="auto"/>
                <w:sz w:val="24"/>
                <w:szCs w:val="24"/>
                <w:highlight w:val="none"/>
                <w:lang w:val="en-US" w:eastAsia="zh-CN"/>
              </w:rPr>
              <w:t>7.付款条件：</w:t>
            </w:r>
          </w:p>
          <w:p w14:paraId="31B66557">
            <w:pPr>
              <w:keepNext w:val="0"/>
              <w:keepLines w:val="0"/>
              <w:pageBreakBefore w:val="0"/>
              <w:kinsoku/>
              <w:wordWrap/>
              <w:overflowPunct/>
              <w:topLinePunct w:val="0"/>
              <w:autoSpaceDE/>
              <w:autoSpaceDN/>
              <w:bidi w:val="0"/>
              <w:adjustRightInd/>
              <w:snapToGrid/>
              <w:spacing w:line="440" w:lineRule="exact"/>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w:t>
            </w:r>
            <w:r>
              <w:rPr>
                <w:rFonts w:hint="default"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lang w:val="en-US" w:eastAsia="zh-CN"/>
              </w:rPr>
              <w:t>）本项目预付款为签约合同价扣除发包人材料设备价款、暂估价、暂列金额后的20% ，签订合同后30个工作日内，从第1期施工进度款支付开始以预付款金额50%的比例从每次支付施工工程进度款时抵扣回，第2期抵扣完成 。</w:t>
            </w:r>
          </w:p>
          <w:p w14:paraId="66ED4C57">
            <w:pPr>
              <w:keepNext w:val="0"/>
              <w:keepLines w:val="0"/>
              <w:pageBreakBefore w:val="0"/>
              <w:kinsoku/>
              <w:wordWrap/>
              <w:overflowPunct/>
              <w:topLinePunct w:val="0"/>
              <w:autoSpaceDE/>
              <w:autoSpaceDN/>
              <w:bidi w:val="0"/>
              <w:adjustRightInd/>
              <w:snapToGrid/>
              <w:spacing w:line="440" w:lineRule="exact"/>
              <w:textAlignment w:val="auto"/>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w:t>
            </w:r>
            <w:r>
              <w:rPr>
                <w:rFonts w:hint="default" w:ascii="方正仿宋_GB2312" w:hAnsi="方正仿宋_GB2312" w:eastAsia="方正仿宋_GB2312" w:cs="方正仿宋_GB2312"/>
                <w:color w:val="auto"/>
                <w:sz w:val="24"/>
                <w:szCs w:val="24"/>
                <w:highlight w:val="none"/>
                <w:lang w:val="en-US" w:eastAsia="zh-CN"/>
              </w:rPr>
              <w:t>①工程款原则上按月支付，合同内进度款支付限额为已完成工程量的80%，工程变更部分（含清单漏项）进度款支付限额为已完成工程量的60%；②工程完工验收达到质量要求，结算经发包人竣工结算审定后，工程款支付至结算总价的97%；③发包人按工程价款结算总额的3%预留工程质量保证金，待工程质量缺陷责任期满之日起30个工作日内无息返还。</w:t>
            </w:r>
          </w:p>
          <w:p w14:paraId="615E8F67">
            <w:pPr>
              <w:keepNext w:val="0"/>
              <w:keepLines w:val="0"/>
              <w:pageBreakBefore w:val="0"/>
              <w:kinsoku/>
              <w:wordWrap/>
              <w:overflowPunct/>
              <w:topLinePunct w:val="0"/>
              <w:autoSpaceDE/>
              <w:autoSpaceDN/>
              <w:bidi w:val="0"/>
              <w:adjustRightInd/>
              <w:snapToGrid/>
              <w:spacing w:line="440" w:lineRule="exact"/>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发票要求：①预付款和进度款付款前，承包人需按实际支付金额提供合法有效等额增值税发票；②结算款付款前，承包人提供的合法有效增值税发票金额需包含质保金、各项罚款、违约金以及结算审核效益费金额，付款时扣除质保金、各项罚款、违约金以及结算审核效益费进行支付；③质保期满退回质保金时无需再开具发票；④各项罚款、违约金以及结算审核效益费在结算款付款时一并扣除，不再退回。</w:t>
            </w:r>
          </w:p>
          <w:p w14:paraId="57B19747">
            <w:pPr>
              <w:keepNext w:val="0"/>
              <w:keepLines w:val="0"/>
              <w:pageBreakBefore w:val="0"/>
              <w:kinsoku/>
              <w:wordWrap/>
              <w:overflowPunct/>
              <w:topLinePunct w:val="0"/>
              <w:autoSpaceDE/>
              <w:autoSpaceDN/>
              <w:bidi w:val="0"/>
              <w:adjustRightInd/>
              <w:snapToGrid/>
              <w:spacing w:line="440" w:lineRule="exact"/>
              <w:textAlignment w:val="auto"/>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8.</w:t>
            </w:r>
            <w:r>
              <w:rPr>
                <w:rFonts w:hint="default" w:ascii="方正仿宋_GB2312" w:hAnsi="方正仿宋_GB2312" w:eastAsia="方正仿宋_GB2312" w:cs="方正仿宋_GB2312"/>
                <w:color w:val="auto"/>
                <w:sz w:val="24"/>
                <w:szCs w:val="24"/>
                <w:highlight w:val="none"/>
                <w:lang w:val="en-US" w:eastAsia="zh-CN"/>
              </w:rPr>
              <w:t>结算方式：本项目为固定综合单价合同，工程量按实际结算。</w:t>
            </w:r>
            <w:r>
              <w:rPr>
                <w:rFonts w:hint="eastAsia" w:ascii="方正仿宋_GB2312" w:hAnsi="方正仿宋_GB2312" w:eastAsia="方正仿宋_GB2312" w:cs="方正仿宋_GB2312"/>
                <w:b/>
                <w:bCs/>
                <w:color w:val="auto"/>
                <w:sz w:val="24"/>
                <w:szCs w:val="24"/>
                <w:highlight w:val="none"/>
                <w:lang w:val="en-US" w:eastAsia="zh-CN"/>
              </w:rPr>
              <w:t>除严重不平衡报价外，无论分部分项工程量清单项目中的工程量变化多少均不调整</w:t>
            </w:r>
            <w:r>
              <w:rPr>
                <w:rFonts w:hint="eastAsia" w:ascii="方正仿宋_GB2312" w:hAnsi="方正仿宋_GB2312" w:eastAsia="方正仿宋_GB2312" w:cs="方正仿宋_GB2312"/>
                <w:color w:val="auto"/>
                <w:sz w:val="24"/>
                <w:szCs w:val="24"/>
                <w:highlight w:val="none"/>
                <w:lang w:val="en-US" w:eastAsia="zh-CN"/>
              </w:rPr>
              <w:t>。</w:t>
            </w:r>
            <w:r>
              <w:rPr>
                <w:rFonts w:hint="default" w:ascii="方正仿宋_GB2312" w:hAnsi="方正仿宋_GB2312" w:eastAsia="方正仿宋_GB2312" w:cs="方正仿宋_GB2312"/>
                <w:color w:val="auto"/>
                <w:sz w:val="24"/>
                <w:szCs w:val="24"/>
                <w:highlight w:val="none"/>
                <w:lang w:val="en-US" w:eastAsia="zh-CN"/>
              </w:rPr>
              <w:t>本工程最终结算价以采购人或采购人选定的第三方工程咨询单位审定金额为准。</w:t>
            </w:r>
          </w:p>
          <w:p w14:paraId="0F001B71">
            <w:pPr>
              <w:keepNext w:val="0"/>
              <w:keepLines w:val="0"/>
              <w:pageBreakBefore w:val="0"/>
              <w:kinsoku/>
              <w:wordWrap/>
              <w:overflowPunct/>
              <w:topLinePunct w:val="0"/>
              <w:autoSpaceDE/>
              <w:autoSpaceDN/>
              <w:bidi w:val="0"/>
              <w:adjustRightInd/>
              <w:snapToGrid/>
              <w:spacing w:line="440" w:lineRule="exact"/>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9.质保期：2年</w:t>
            </w:r>
          </w:p>
          <w:p w14:paraId="43B07CC4">
            <w:pPr>
              <w:pStyle w:val="2"/>
              <w:keepNext w:val="0"/>
              <w:keepLines w:val="0"/>
              <w:pageBreakBefore w:val="0"/>
              <w:kinsoku/>
              <w:wordWrap/>
              <w:overflowPunct/>
              <w:topLinePunct w:val="0"/>
              <w:autoSpaceDE/>
              <w:autoSpaceDN/>
              <w:bidi w:val="0"/>
              <w:adjustRightInd/>
              <w:snapToGrid/>
              <w:spacing w:line="440" w:lineRule="exact"/>
              <w:textAlignment w:val="auto"/>
              <w:rPr>
                <w:rFonts w:hint="eastAsia"/>
                <w:lang w:val="en-US" w:eastAsia="zh-CN"/>
              </w:rPr>
            </w:pPr>
            <w:r>
              <w:rPr>
                <w:rFonts w:hint="eastAsia" w:ascii="方正仿宋_GB2312" w:hAnsi="方正仿宋_GB2312" w:eastAsia="方正仿宋_GB2312" w:cs="方正仿宋_GB2312"/>
                <w:color w:val="auto"/>
                <w:sz w:val="24"/>
                <w:szCs w:val="24"/>
                <w:highlight w:val="none"/>
                <w:lang w:val="en-US" w:eastAsia="zh-CN"/>
              </w:rPr>
              <w:t>10.现场踏勘：建设单位不统一组织，由报名单位自行前往医院踏勘。</w:t>
            </w:r>
          </w:p>
        </w:tc>
      </w:tr>
      <w:tr w14:paraId="1F46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Align w:val="center"/>
          </w:tcPr>
          <w:p w14:paraId="72FF8A51">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jc w:val="both"/>
              <w:textAlignment w:val="auto"/>
              <w:rPr>
                <w:rFonts w:hint="eastAsia" w:ascii="方正仿宋_GB2312" w:hAnsi="方正仿宋_GB2312" w:eastAsia="方正仿宋_GB2312" w:cs="方正仿宋_GB2312"/>
                <w:b/>
                <w:color w:val="auto"/>
                <w:sz w:val="24"/>
                <w:szCs w:val="24"/>
                <w:highlight w:val="none"/>
                <w:lang w:val="en-US" w:eastAsia="zh-CN"/>
              </w:rPr>
            </w:pPr>
            <w:r>
              <w:rPr>
                <w:rFonts w:hint="eastAsia" w:ascii="方正仿宋_GB2312" w:hAnsi="方正仿宋_GB2312" w:eastAsia="方正仿宋_GB2312" w:cs="方正仿宋_GB2312"/>
                <w:b/>
                <w:color w:val="auto"/>
                <w:sz w:val="24"/>
                <w:szCs w:val="24"/>
                <w:highlight w:val="none"/>
                <w:lang w:val="en-US" w:eastAsia="zh-CN"/>
              </w:rPr>
              <w:t>报名要求</w:t>
            </w:r>
          </w:p>
          <w:p w14:paraId="4A9063CC">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方正公文小标宋" w:hAnsi="方正公文小标宋" w:eastAsia="方正公文小标宋" w:cs="方正公文小标宋"/>
                <w:b w:val="0"/>
                <w:bCs/>
                <w:color w:val="auto"/>
                <w:sz w:val="32"/>
                <w:szCs w:val="32"/>
                <w:highlight w:val="none"/>
                <w:vertAlign w:val="baseline"/>
                <w:lang w:val="en-US" w:eastAsia="zh-CN"/>
              </w:rPr>
            </w:pPr>
          </w:p>
        </w:tc>
        <w:tc>
          <w:tcPr>
            <w:tcW w:w="7658" w:type="dxa"/>
          </w:tcPr>
          <w:p w14:paraId="63CE9FF9">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textAlignment w:val="auto"/>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1.报名条件</w:t>
            </w:r>
          </w:p>
          <w:p w14:paraId="3ABF5BA1">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color w:val="auto"/>
                <w:kern w:val="2"/>
                <w:sz w:val="24"/>
                <w:szCs w:val="24"/>
                <w:highlight w:val="none"/>
                <w:lang w:val="en-US" w:eastAsia="zh-CN" w:bidi="ar-SA"/>
              </w:rPr>
            </w:pPr>
            <w:bookmarkStart w:id="0" w:name="_GoBack"/>
            <w:bookmarkEnd w:id="0"/>
            <w:r>
              <w:rPr>
                <w:rFonts w:hint="eastAsia" w:ascii="方正仿宋_GB2312" w:hAnsi="方正仿宋_GB2312" w:eastAsia="方正仿宋_GB2312" w:cs="方正仿宋_GB2312"/>
                <w:color w:val="auto"/>
                <w:kern w:val="2"/>
                <w:sz w:val="24"/>
                <w:szCs w:val="24"/>
                <w:highlight w:val="none"/>
                <w:lang w:val="en-US" w:eastAsia="zh-CN" w:bidi="ar-SA"/>
              </w:rPr>
              <w:t>（1）具备装修装饰工程专业承包二级资质及以上资质；</w:t>
            </w:r>
          </w:p>
          <w:p w14:paraId="4B303B90">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（2）在“信用中国”网站（www.creditchina.gov.cn）上未被列入失信被执行人、重大税收违法案件当事人名单的不良行为记录（提供网页查询截图并加盖公章）；</w:t>
            </w:r>
          </w:p>
          <w:p w14:paraId="636CA3E1">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（3）工商营业执照、税务登记证、组织机构代码证（“三证合一”的营业执照具备有效的社会信用代码）证件齐全合格有效；</w:t>
            </w:r>
          </w:p>
          <w:p w14:paraId="793E8210">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color w:val="auto"/>
                <w:sz w:val="24"/>
                <w:highlight w:val="none"/>
                <w:lang w:val="en-US" w:eastAsia="zh-CN"/>
              </w:rPr>
            </w:pPr>
            <w:r>
              <w:rPr>
                <w:rFonts w:hint="eastAsia" w:ascii="方正仿宋_GB2312" w:hAnsi="方正仿宋_GB2312" w:eastAsia="方正仿宋_GB2312" w:cs="方正仿宋_GB2312"/>
                <w:color w:val="auto"/>
                <w:kern w:val="2"/>
                <w:sz w:val="24"/>
                <w:szCs w:val="24"/>
                <w:highlight w:val="none"/>
                <w:lang w:val="en-US" w:eastAsia="zh-CN" w:bidi="ar-SA"/>
              </w:rPr>
              <w:t>（4）近三个月的完税证明。</w:t>
            </w:r>
          </w:p>
          <w:p w14:paraId="10E5A79F">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b/>
                <w:bCs/>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2.报名材料</w:t>
            </w:r>
            <w:r>
              <w:rPr>
                <w:rFonts w:hint="eastAsia" w:ascii="方正仿宋_GB2312" w:hAnsi="方正仿宋_GB2312" w:eastAsia="方正仿宋_GB2312" w:cs="方正仿宋_GB2312"/>
                <w:b/>
                <w:bCs/>
                <w:color w:val="auto"/>
                <w:kern w:val="2"/>
                <w:sz w:val="24"/>
                <w:szCs w:val="24"/>
                <w:highlight w:val="none"/>
                <w:lang w:val="en-US" w:eastAsia="zh-CN" w:bidi="ar-SA"/>
              </w:rPr>
              <w:t>（以下材料需加盖公司公章，一式两份）</w:t>
            </w:r>
          </w:p>
          <w:p w14:paraId="3B1CF518">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（1）营业执照、企业资质；</w:t>
            </w:r>
          </w:p>
          <w:p w14:paraId="75F6C09A">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（2）法定代表人及授权人身份证复印件、法定代表人委托授权书；</w:t>
            </w:r>
          </w:p>
          <w:p w14:paraId="058C4119">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（3）公司在“信用中国”网站网页查询截图；</w:t>
            </w:r>
          </w:p>
          <w:p w14:paraId="5788579C">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（4）近三个月的公司完税证明；</w:t>
            </w:r>
          </w:p>
          <w:p w14:paraId="3A99E2AF">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公文小标宋" w:hAnsi="方正公文小标宋" w:eastAsia="方正公文小标宋" w:cs="方正公文小标宋"/>
                <w:b w:val="0"/>
                <w:bCs/>
                <w:color w:val="auto"/>
                <w:sz w:val="32"/>
                <w:szCs w:val="32"/>
                <w:highlight w:val="none"/>
                <w:vertAlign w:val="baseline"/>
                <w:lang w:val="en-US" w:eastAsia="zh-CN"/>
              </w:rPr>
            </w:pPr>
            <w:r>
              <w:rPr>
                <w:rFonts w:hint="eastAsia" w:ascii="方正仿宋_GB2312" w:hAnsi="方正仿宋_GB2312" w:eastAsia="方正仿宋_GB2312" w:cs="方正仿宋_GB2312"/>
                <w:color w:val="auto"/>
                <w:kern w:val="2"/>
                <w:sz w:val="24"/>
                <w:szCs w:val="24"/>
                <w:highlight w:val="none"/>
                <w:lang w:val="en-US" w:eastAsia="zh-CN" w:bidi="ar-SA"/>
              </w:rPr>
              <w:t>3.报名时需在资料上留下联系人姓名、联系电话、邮箱等联系方式。</w:t>
            </w:r>
          </w:p>
        </w:tc>
      </w:tr>
      <w:tr w14:paraId="3DE66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Align w:val="center"/>
          </w:tcPr>
          <w:p w14:paraId="3F8681FB">
            <w:pPr>
              <w:keepNext w:val="0"/>
              <w:keepLines w:val="0"/>
              <w:pageBreakBefore w:val="0"/>
              <w:widowControl/>
              <w:numPr>
                <w:ilvl w:val="-1"/>
                <w:numId w:val="0"/>
              </w:numPr>
              <w:kinsoku/>
              <w:wordWrap/>
              <w:overflowPunct/>
              <w:topLinePunct w:val="0"/>
              <w:autoSpaceDE/>
              <w:autoSpaceDN/>
              <w:bidi w:val="0"/>
              <w:adjustRightInd/>
              <w:snapToGrid/>
              <w:spacing w:line="500" w:lineRule="exact"/>
              <w:ind w:left="0"/>
              <w:jc w:val="both"/>
              <w:textAlignment w:val="auto"/>
              <w:rPr>
                <w:rFonts w:hint="eastAsia" w:ascii="方正仿宋_GB2312" w:hAnsi="方正仿宋_GB2312" w:eastAsia="方正仿宋_GB2312" w:cs="方正仿宋_GB2312"/>
                <w:b/>
                <w:color w:val="auto"/>
                <w:sz w:val="24"/>
                <w:szCs w:val="24"/>
                <w:highlight w:val="none"/>
                <w:lang w:val="en-US" w:eastAsia="zh-CN"/>
              </w:rPr>
            </w:pPr>
            <w:r>
              <w:rPr>
                <w:rFonts w:hint="eastAsia" w:ascii="方正仿宋_GB2312" w:hAnsi="方正仿宋_GB2312" w:eastAsia="方正仿宋_GB2312" w:cs="方正仿宋_GB2312"/>
                <w:b/>
                <w:color w:val="auto"/>
                <w:sz w:val="24"/>
                <w:szCs w:val="24"/>
                <w:highlight w:val="none"/>
                <w:lang w:val="en-US" w:eastAsia="zh-CN"/>
              </w:rPr>
              <w:t>报名单位提交报价文件要求</w:t>
            </w:r>
          </w:p>
          <w:p w14:paraId="1D9F257F">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方正公文小标宋" w:hAnsi="方正公文小标宋" w:eastAsia="方正公文小标宋" w:cs="方正公文小标宋"/>
                <w:b w:val="0"/>
                <w:bCs/>
                <w:color w:val="auto"/>
                <w:sz w:val="32"/>
                <w:szCs w:val="32"/>
                <w:highlight w:val="none"/>
                <w:vertAlign w:val="baseline"/>
                <w:lang w:val="en-US" w:eastAsia="zh-CN"/>
              </w:rPr>
            </w:pPr>
          </w:p>
        </w:tc>
        <w:tc>
          <w:tcPr>
            <w:tcW w:w="7658" w:type="dxa"/>
          </w:tcPr>
          <w:p w14:paraId="361BC7D6">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1.报价清单（请务必采用博奥软件和最新广西定额计价，报价清单请加盖公章）；</w:t>
            </w:r>
          </w:p>
          <w:p w14:paraId="514D61DA">
            <w:pPr>
              <w:keepNext w:val="0"/>
              <w:keepLines w:val="0"/>
              <w:pageBreakBefore w:val="0"/>
              <w:widowControl/>
              <w:shd w:val="clear" w:color="auto" w:fill="auto"/>
              <w:kinsoku/>
              <w:wordWrap/>
              <w:overflowPunct/>
              <w:topLinePunct w:val="0"/>
              <w:autoSpaceDE/>
              <w:autoSpaceDN/>
              <w:bidi w:val="0"/>
              <w:adjustRightInd/>
              <w:snapToGrid/>
              <w:spacing w:line="440" w:lineRule="exact"/>
              <w:ind w:firstLine="0" w:firstLineChars="0"/>
              <w:jc w:val="left"/>
              <w:textAlignment w:val="auto"/>
              <w:rPr>
                <w:rFonts w:hint="eastAsia" w:ascii="方正仿宋_GB2312" w:hAnsi="方正仿宋_GB2312" w:eastAsia="方正仿宋_GB2312" w:cs="方正仿宋_GB2312"/>
                <w:b w:val="0"/>
                <w:bCs w:val="0"/>
                <w:color w:val="auto"/>
                <w:kern w:val="2"/>
                <w:sz w:val="24"/>
                <w:szCs w:val="24"/>
                <w:highlight w:val="none"/>
                <w:lang w:val="en-US" w:eastAsia="zh-CN" w:bidi="ar-SA"/>
              </w:rPr>
            </w:pPr>
            <w:r>
              <w:rPr>
                <w:rFonts w:hint="eastAsia" w:ascii="方正仿宋_GB2312" w:hAnsi="方正仿宋_GB2312" w:eastAsia="方正仿宋_GB2312" w:cs="方正仿宋_GB2312"/>
                <w:color w:val="auto"/>
                <w:kern w:val="2"/>
                <w:sz w:val="24"/>
                <w:szCs w:val="24"/>
                <w:highlight w:val="none"/>
                <w:lang w:val="en-US" w:eastAsia="zh-CN" w:bidi="ar-SA"/>
              </w:rPr>
              <w:t>2.供应商在编制报价文件时，</w:t>
            </w:r>
            <w:r>
              <w:rPr>
                <w:rFonts w:hint="eastAsia" w:ascii="方正仿宋_GB2312" w:hAnsi="方正仿宋_GB2312" w:eastAsia="方正仿宋_GB2312" w:cs="方正仿宋_GB2312"/>
                <w:b/>
                <w:bCs/>
                <w:color w:val="auto"/>
                <w:kern w:val="2"/>
                <w:sz w:val="24"/>
                <w:szCs w:val="24"/>
                <w:highlight w:val="none"/>
                <w:lang w:val="en-US" w:eastAsia="zh-CN" w:bidi="ar-SA"/>
              </w:rPr>
              <w:t>安全生产责任保险费应按照招标工程量清单中给出的安责险暂估价的具体金额填写，不得调整。报价总金额不得超过采购上控价。</w:t>
            </w:r>
          </w:p>
          <w:p w14:paraId="098D10ED">
            <w:pPr>
              <w:keepNext w:val="0"/>
              <w:keepLines w:val="0"/>
              <w:pageBreakBefore w:val="0"/>
              <w:widowControl/>
              <w:shd w:val="clear" w:color="auto" w:fill="auto"/>
              <w:kinsoku/>
              <w:wordWrap/>
              <w:overflowPunct/>
              <w:topLinePunct w:val="0"/>
              <w:autoSpaceDE/>
              <w:autoSpaceDN/>
              <w:bidi w:val="0"/>
              <w:adjustRightInd/>
              <w:snapToGrid/>
              <w:spacing w:line="440" w:lineRule="exact"/>
              <w:jc w:val="left"/>
              <w:textAlignment w:val="auto"/>
              <w:rPr>
                <w:rFonts w:hint="default" w:ascii="方正公文小标宋" w:hAnsi="方正公文小标宋" w:eastAsia="方正公文小标宋" w:cs="方正公文小标宋"/>
                <w:b w:val="0"/>
                <w:bCs/>
                <w:color w:val="auto"/>
                <w:sz w:val="32"/>
                <w:szCs w:val="32"/>
                <w:highlight w:val="none"/>
                <w:vertAlign w:val="baseline"/>
                <w:lang w:val="en-US" w:eastAsia="zh-CN"/>
              </w:rPr>
            </w:pPr>
            <w:r>
              <w:rPr>
                <w:rFonts w:hint="eastAsia" w:ascii="方正仿宋_GB2312" w:hAnsi="方正仿宋_GB2312" w:eastAsia="方正仿宋_GB2312" w:cs="方正仿宋_GB2312"/>
                <w:color w:val="auto"/>
                <w:sz w:val="24"/>
                <w:highlight w:val="none"/>
                <w:lang w:val="en-US" w:eastAsia="zh-CN"/>
              </w:rPr>
              <w:t>3.报价文件提交截止时间：院方另行通知。</w:t>
            </w:r>
          </w:p>
        </w:tc>
      </w:tr>
    </w:tbl>
    <w:p w14:paraId="2C0BFC1B">
      <w:pPr>
        <w:rPr>
          <w:rFonts w:hint="eastAsia" w:ascii="宋体" w:hAnsi="宋体"/>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F32CF29-FE88-4A66-BD7F-4BAD80FB9B3C}"/>
  </w:font>
  <w:font w:name="方正公文小标宋">
    <w:panose1 w:val="02000500000000000000"/>
    <w:charset w:val="86"/>
    <w:family w:val="auto"/>
    <w:pitch w:val="default"/>
    <w:sig w:usb0="A00002BF" w:usb1="38CF7CFA" w:usb2="00000016" w:usb3="00000000" w:csb0="00040001" w:csb1="00000000"/>
    <w:embedRegular r:id="rId2" w:fontKey="{A7929719-4768-4A35-A5B3-3304F13DB394}"/>
  </w:font>
  <w:font w:name="方正仿宋_GB2312">
    <w:panose1 w:val="02000000000000000000"/>
    <w:charset w:val="86"/>
    <w:family w:val="auto"/>
    <w:pitch w:val="default"/>
    <w:sig w:usb0="A00002BF" w:usb1="184F6CFA" w:usb2="00000012" w:usb3="00000000" w:csb0="00040001" w:csb1="00000000"/>
    <w:embedRegular r:id="rId3" w:fontKey="{32B341D4-8683-481B-957F-BD9FC14BD19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YTk5MmRkMjg2YjY1NTA5NTAxZmNjYmI0NTcwZGYifQ=="/>
  </w:docVars>
  <w:rsids>
    <w:rsidRoot w:val="70E014DC"/>
    <w:rsid w:val="0150621B"/>
    <w:rsid w:val="01A66452"/>
    <w:rsid w:val="09860201"/>
    <w:rsid w:val="0A010FAA"/>
    <w:rsid w:val="0BBD7B64"/>
    <w:rsid w:val="12272C87"/>
    <w:rsid w:val="13A858F4"/>
    <w:rsid w:val="177D78E7"/>
    <w:rsid w:val="210A1508"/>
    <w:rsid w:val="2C712870"/>
    <w:rsid w:val="32343FBF"/>
    <w:rsid w:val="3A285F4C"/>
    <w:rsid w:val="42FE3135"/>
    <w:rsid w:val="45F94D3F"/>
    <w:rsid w:val="479F1F62"/>
    <w:rsid w:val="59B502DC"/>
    <w:rsid w:val="70E014DC"/>
    <w:rsid w:val="76D74096"/>
    <w:rsid w:val="76E45098"/>
    <w:rsid w:val="7826748A"/>
    <w:rsid w:val="7CC629E3"/>
    <w:rsid w:val="7E892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正文_3"/>
    <w:autoRedefine/>
    <w:unhideWhenUsed/>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1325</Words>
  <Characters>1391</Characters>
  <Lines>0</Lines>
  <Paragraphs>0</Paragraphs>
  <TotalTime>0</TotalTime>
  <ScaleCrop>false</ScaleCrop>
  <LinksUpToDate>false</LinksUpToDate>
  <CharactersWithSpaces>1397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2024-07-01T09:08:00Z</dcterms:created>
  <dc:creator>擅匪惭实觅</dc:creator>
  <cp:lastModifiedBy>我爱熊猫</cp:lastModifiedBy>
  <dcterms:modified xsi:type="dcterms:W3CDTF">2025-06-20T09:09:36Z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70422212BE924D96A1E6C53842E47CBB_11</vt:lpwstr>
  </property>
  <property fmtid="{D5CDD505-2E9C-101B-9397-08002B2CF9AE}" pid="4" name="KSOTemplateDocerSaveRecord">
    <vt:lpwstr>eyJoZGlkIjoiYzRlYzk2ZGE4ZTc3YmQ2YzUwOTE0NThjY2Q0NjA3YjEiLCJ1c2VySWQiOiIyMzc0MzQyMjEifQ==</vt:lpwstr>
  </property>
</Properties>
</file>